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w:t>
      </w:r>
      <w:r>
        <w:rPr>
          <w:rFonts w:hint="eastAsia"/>
          <w:b/>
          <w:sz w:val="24"/>
          <w:szCs w:val="24"/>
          <w:lang w:val="en-US" w:eastAsia="zh-CN"/>
        </w:rPr>
        <w:t>14</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215765</w:t>
      </w:r>
    </w:p>
    <w:p>
      <w:pPr>
        <w:numPr>
          <w:ilvl w:val="0"/>
          <w:numId w:val="0"/>
        </w:numPr>
        <w:overflowPunct w:val="0"/>
        <w:autoSpaceDE w:val="0"/>
        <w:spacing w:after="0" w:line="240" w:lineRule="auto"/>
        <w:jc w:val="both"/>
        <w:textAlignment w:val="baseline"/>
        <w:rPr>
          <w:rFonts w:hint="eastAsia" w:ascii="Arial" w:hAnsi="Arial" w:eastAsia="宋体" w:cs="Arial"/>
          <w:b/>
          <w:bCs/>
          <w:color w:val="000000"/>
          <w:sz w:val="24"/>
          <w:szCs w:val="24"/>
          <w:lang w:eastAsia="zh-CN"/>
        </w:rPr>
      </w:pPr>
      <w:r>
        <w:rPr>
          <w:rFonts w:hint="eastAsia" w:ascii="Arial" w:hAnsi="Arial" w:cs="Arial"/>
          <w:b/>
          <w:bCs/>
          <w:color w:val="000000"/>
          <w:sz w:val="24"/>
          <w:szCs w:val="24"/>
          <w:lang w:val="en-US" w:eastAsia="zh-CN"/>
        </w:rPr>
        <w:t>1-11 Nov</w:t>
      </w:r>
      <w:r>
        <w:rPr>
          <w:rFonts w:ascii="Arial" w:hAnsi="Arial" w:eastAsia="Batang" w:cs="Arial"/>
          <w:b/>
          <w:bCs/>
          <w:color w:val="000000"/>
          <w:sz w:val="24"/>
          <w:szCs w:val="24"/>
        </w:rPr>
        <w:t xml:space="preserve"> 202</w:t>
      </w:r>
      <w:r>
        <w:rPr>
          <w:rFonts w:hint="eastAsia" w:ascii="Arial" w:hAnsi="Arial" w:eastAsia="宋体" w:cs="Arial"/>
          <w:b/>
          <w:bCs/>
          <w:color w:val="000000"/>
          <w:sz w:val="24"/>
          <w:szCs w:val="24"/>
          <w:lang w:val="en-US" w:eastAsia="zh-CN"/>
        </w:rPr>
        <w:t>1</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8.1</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Discussion on</w:t>
      </w:r>
      <w:r>
        <w:rPr>
          <w:rFonts w:hint="eastAsia" w:ascii="Arial" w:hAnsi="Arial" w:cs="Times New Roman"/>
          <w:sz w:val="24"/>
          <w:lang w:val="en-US" w:eastAsia="zh-CN"/>
        </w:rPr>
        <w:t xml:space="preserve"> the F1 interface for MOCN network sharing for multiple cell identity broadcast scenario</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pStyle w:val="32"/>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sz w:val="20"/>
          <w:szCs w:val="15"/>
          <w:lang w:val="en-US" w:eastAsia="zh-CN"/>
        </w:rPr>
      </w:pPr>
      <w:r>
        <w:rPr>
          <w:rFonts w:hint="eastAsia"/>
          <w:sz w:val="20"/>
          <w:szCs w:val="15"/>
          <w:lang w:val="en-US" w:eastAsia="zh-CN"/>
        </w:rPr>
        <w:t>In this meeting, one LS from SA5 have been received about the F1 interface for MOCN network sharing for multiple cell identity broadcast scenario.</w:t>
      </w:r>
    </w:p>
    <w:p>
      <w:pPr>
        <w:pStyle w:val="32"/>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sz w:val="20"/>
          <w:szCs w:val="15"/>
          <w:lang w:val="en-US" w:eastAsia="zh-CN"/>
        </w:rPr>
      </w:pPr>
      <w:r>
        <w:rPr>
          <w:rFonts w:hint="eastAsia"/>
          <w:sz w:val="20"/>
          <w:szCs w:val="15"/>
          <w:lang w:val="en-US" w:eastAsia="zh-CN"/>
        </w:rPr>
        <w:t>In this contribution, we will discuss the F1 interface for RAN sharing from RAN3 perspective.</w:t>
      </w:r>
    </w:p>
    <w:p>
      <w:pPr>
        <w:pStyle w:val="2"/>
      </w:pPr>
      <w:r>
        <w:rPr>
          <w:rFonts w:hint="eastAsia"/>
          <w:lang w:val="en-US" w:eastAsia="zh-CN"/>
        </w:rPr>
        <w:t>Discussion</w:t>
      </w:r>
    </w:p>
    <w:p>
      <w:pPr>
        <w:rPr>
          <w:rFonts w:hint="default"/>
          <w:lang w:val="en-US" w:eastAsia="zh-CN"/>
        </w:rPr>
      </w:pPr>
      <w:r>
        <w:rPr>
          <w:rFonts w:hint="eastAsia"/>
          <w:lang w:val="en-US" w:eastAsia="zh-CN"/>
        </w:rPr>
        <w:t>SA5 has raised two questions about the common F1 interface and dedicated F1 interface, which are given as follows.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ascii="Arial" w:hAnsi="Arial" w:cs="Arial"/>
                <w:lang w:val="fr-CA"/>
              </w:rPr>
            </w:pPr>
            <w:r>
              <w:rPr>
                <w:rFonts w:ascii="Arial" w:hAnsi="Arial" w:cs="Arial"/>
                <w:lang w:val="fr-CA"/>
              </w:rPr>
              <w:t>3GPP SA5 is now working on the management aspect for MOCN network sharing with multiple Cell Identity broadcast scenario. SA5 understands there are 2 types of F1 interface which need to be supported by the OAM configuration to support MOCN network sharing with multiple cell identity broadcast scenario.  These F1 interfaces are as follows:</w:t>
            </w:r>
          </w:p>
          <w:p>
            <w:pPr>
              <w:jc w:val="both"/>
              <w:rPr>
                <w:rFonts w:ascii="Arial" w:hAnsi="Arial" w:cs="Arial"/>
                <w:lang w:val="fr-CA"/>
              </w:rPr>
            </w:pPr>
            <w:r>
              <w:rPr>
                <w:rFonts w:ascii="Arial" w:hAnsi="Arial" w:cs="Arial"/>
                <w:lang w:val="fr-CA"/>
              </w:rPr>
              <w:t xml:space="preserve">   - Common F1 interface:  one F1 interface used by all shared operators (i.e. PLMNs)</w:t>
            </w:r>
          </w:p>
          <w:p>
            <w:pPr>
              <w:jc w:val="both"/>
              <w:rPr>
                <w:rFonts w:ascii="Arial" w:hAnsi="Arial" w:cs="Arial"/>
                <w:lang w:val="fr-CA"/>
              </w:rPr>
            </w:pPr>
            <w:r>
              <w:rPr>
                <w:rFonts w:ascii="Arial" w:hAnsi="Arial" w:cs="Arial"/>
                <w:lang w:val="fr-CA"/>
              </w:rPr>
              <w:t xml:space="preserve">   - Dedicated F1 interface:  one F1 interface per shared operator (i.e. pLMN)</w:t>
            </w:r>
          </w:p>
          <w:p>
            <w:pPr>
              <w:pStyle w:val="47"/>
              <w:jc w:val="both"/>
              <w:rPr>
                <w:rFonts w:ascii="Arial" w:hAnsi="Arial" w:cs="Arial"/>
                <w:sz w:val="21"/>
                <w:szCs w:val="21"/>
              </w:rPr>
            </w:pPr>
            <w:r>
              <w:rPr>
                <w:rFonts w:ascii="Arial" w:hAnsi="Arial" w:cs="Arial"/>
                <w:color w:val="000000"/>
                <w:sz w:val="21"/>
                <w:szCs w:val="21"/>
              </w:rPr>
              <w:t xml:space="preserve">Our current assumption is that configuration for Common F1 and/or Dedicated F1 </w:t>
            </w:r>
            <w:r>
              <w:rPr>
                <w:rFonts w:hint="eastAsia" w:ascii="Arial" w:hAnsi="Arial" w:cs="Arial"/>
                <w:color w:val="000000"/>
                <w:sz w:val="21"/>
                <w:szCs w:val="21"/>
              </w:rPr>
              <w:t>should</w:t>
            </w:r>
            <w:r>
              <w:rPr>
                <w:rFonts w:ascii="Arial" w:hAnsi="Arial" w:cs="Arial"/>
                <w:color w:val="000000"/>
                <w:sz w:val="21"/>
                <w:szCs w:val="21"/>
              </w:rPr>
              <w:t xml:space="preserve"> be supported. To confirm our understanding, the following questions require clarification:</w:t>
            </w:r>
          </w:p>
          <w:p>
            <w:pPr>
              <w:numPr>
                <w:ilvl w:val="0"/>
                <w:numId w:val="11"/>
              </w:numPr>
              <w:jc w:val="both"/>
              <w:rPr>
                <w:rFonts w:ascii="Arial" w:hAnsi="Arial" w:cs="Arial"/>
                <w:lang w:val="en-US"/>
              </w:rPr>
            </w:pPr>
            <w:bookmarkStart w:id="3" w:name="OLE_LINK2"/>
            <w:bookmarkStart w:id="4" w:name="OLE_LINK3"/>
            <w:bookmarkStart w:id="5" w:name="OLE_LINK4"/>
            <w:r>
              <w:rPr>
                <w:rFonts w:ascii="Arial" w:hAnsi="Arial" w:cs="Arial"/>
                <w:color w:val="000000"/>
                <w:sz w:val="21"/>
                <w:szCs w:val="21"/>
              </w:rPr>
              <w:t>Issue#1:  Is either of the Common F1 interface or Dedicated F1 interface optional to implement?</w:t>
            </w:r>
          </w:p>
          <w:bookmarkEnd w:id="3"/>
          <w:bookmarkEnd w:id="4"/>
          <w:p>
            <w:pPr>
              <w:numPr>
                <w:ilvl w:val="0"/>
                <w:numId w:val="11"/>
              </w:numPr>
              <w:jc w:val="both"/>
              <w:rPr>
                <w:rFonts w:ascii="Arial" w:hAnsi="Arial" w:cs="Arial"/>
                <w:lang w:val="en-US"/>
              </w:rPr>
            </w:pPr>
            <w:r>
              <w:rPr>
                <w:rFonts w:ascii="Arial" w:hAnsi="Arial" w:cs="Arial"/>
                <w:color w:val="000000"/>
                <w:sz w:val="21"/>
                <w:szCs w:val="21"/>
              </w:rPr>
              <w:t xml:space="preserve">Issue#2:  Can both Common F1 and Dedicated F1 interface be supported simultaneously by same gNB?  </w:t>
            </w:r>
          </w:p>
          <w:bookmarkEnd w:id="5"/>
          <w:p>
            <w:pPr>
              <w:jc w:val="both"/>
              <w:rPr>
                <w:rFonts w:hint="eastAsia"/>
                <w:vertAlign w:val="baseline"/>
                <w:lang w:val="en-US" w:eastAsia="zh-CN"/>
              </w:rPr>
            </w:pPr>
            <w:r>
              <w:rPr>
                <w:rFonts w:ascii="Arial" w:hAnsi="Arial" w:cs="Arial"/>
                <w:lang w:val="fr-CA"/>
              </w:rPr>
              <w:t>3GPP SA5 would like to get your feedback for above Issues.</w:t>
            </w:r>
          </w:p>
        </w:tc>
      </w:tr>
    </w:tbl>
    <w:p>
      <w:pPr>
        <w:rPr>
          <w:rFonts w:hint="eastAsia"/>
          <w:lang w:val="en-US" w:eastAsia="zh-CN"/>
        </w:rPr>
      </w:pPr>
      <w:r>
        <w:rPr>
          <w:rFonts w:hint="eastAsia"/>
          <w:lang w:val="en-US" w:eastAsia="zh-CN"/>
        </w:rPr>
        <w:t>The RAN sharing function over F1 has been introduced in Rel-15, and the corresponding description over F1 has been captured in TS 38.401.</w:t>
      </w:r>
    </w:p>
    <w:p>
      <w:pPr>
        <w:rPr>
          <w:rFonts w:hint="eastAsia"/>
          <w:lang w:val="en-US" w:eastAsia="zh-CN"/>
        </w:rPr>
      </w:pPr>
      <w:r>
        <w:rPr>
          <w:rFonts w:hint="eastAsia"/>
          <w:lang w:val="en-US" w:eastAsia="zh-CN"/>
        </w:rPr>
        <w:t>---------------------------------------------------------TS 38.401---------------------------------------------------------------------------</w:t>
      </w:r>
    </w:p>
    <w:p>
      <w:pPr>
        <w:pStyle w:val="10"/>
        <w:numPr>
          <w:ilvl w:val="7"/>
          <w:numId w:val="0"/>
        </w:numPr>
        <w:tabs>
          <w:tab w:val="clear" w:pos="1440"/>
        </w:tabs>
        <w:ind w:leftChars="0"/>
      </w:pPr>
      <w:bookmarkStart w:id="6" w:name="_Toc29391542"/>
      <w:bookmarkStart w:id="7" w:name="_Toc73980557"/>
      <w:bookmarkStart w:id="8" w:name="_Toc51763605"/>
      <w:bookmarkStart w:id="9" w:name="_Toc45104836"/>
      <w:bookmarkStart w:id="10" w:name="_Toc36560573"/>
      <w:bookmarkStart w:id="11" w:name="_Toc52266420"/>
      <w:bookmarkStart w:id="12" w:name="_Toc64445198"/>
      <w:bookmarkStart w:id="13" w:name="_Toc13919175"/>
      <w:bookmarkStart w:id="14" w:name="_Toc45883319"/>
      <w:bookmarkStart w:id="15" w:name="_Toc81230294"/>
      <w:r>
        <w:t>Annex B:</w:t>
      </w:r>
      <w:r>
        <w:br w:type="textWrapping"/>
      </w:r>
      <w:r>
        <w:t>NG-RAN Architecture for Radio Access Network Sharing with multiple cell ID broadcast (informative)</w:t>
      </w:r>
      <w:bookmarkEnd w:id="6"/>
      <w:bookmarkEnd w:id="7"/>
      <w:bookmarkEnd w:id="8"/>
      <w:bookmarkEnd w:id="9"/>
      <w:bookmarkEnd w:id="10"/>
      <w:bookmarkEnd w:id="11"/>
      <w:bookmarkEnd w:id="12"/>
      <w:bookmarkEnd w:id="13"/>
      <w:bookmarkEnd w:id="14"/>
      <w:bookmarkEnd w:id="15"/>
    </w:p>
    <w:p>
      <w:r>
        <w:t>Each gNB-DU serving a cell identified by a Cell Identity associated with a subset of PLMNs is connected to a gNB-CU via a single F1-C interface instance.</w:t>
      </w:r>
    </w:p>
    <w:p>
      <w:r>
        <w:t>Each F1-C interface instance is setup individually.</w:t>
      </w:r>
    </w:p>
    <w:p>
      <w:bookmarkStart w:id="16" w:name="_Hlk8870348"/>
      <w:r>
        <w:t>F1-C interface instances terminating at gNB-DUs which share the same physical radio resources may share the same F1-C signalling transport resources. If this option is applied</w:t>
      </w:r>
      <w:bookmarkEnd w:id="16"/>
      <w:r>
        <w:t>,</w:t>
      </w:r>
    </w:p>
    <w:p>
      <w:pPr>
        <w:pStyle w:val="126"/>
      </w:pPr>
      <w:bookmarkStart w:id="17" w:name="_Hlk7732981"/>
      <w:r>
        <w:t>-</w:t>
      </w:r>
      <w:r>
        <w:tab/>
      </w:r>
      <w:r>
        <w:t xml:space="preserve">non-UE associated signalling is associated to an F1-C interface instance by allocating the corresponding Transaction ID from a value range associated to that F1-C interface instance. </w:t>
      </w:r>
    </w:p>
    <w:bookmarkEnd w:id="17"/>
    <w:p>
      <w:pPr>
        <w:pStyle w:val="126"/>
      </w:pPr>
      <w:r>
        <w:t>-</w:t>
      </w:r>
      <w:r>
        <w:tab/>
      </w:r>
      <w:r>
        <w:t>node related, non-UE associated F1-C interface signalling may provide information destined for multiple logical nodes in a single F1AP procedure instance once the F1-C interface instance is setup.</w:t>
      </w:r>
    </w:p>
    <w:p>
      <w:pPr>
        <w:pStyle w:val="90"/>
      </w:pPr>
      <w:bookmarkStart w:id="18" w:name="_Hlk7733065"/>
      <w:r>
        <w:t>NOTE 1:</w:t>
      </w:r>
      <w:r>
        <w:tab/>
      </w:r>
      <w:r>
        <w:t>If the Interface Instance Indication corresponds to more than one interface instance, the respective F1AP message carries information destined for multiple logical nodes.</w:t>
      </w:r>
    </w:p>
    <w:bookmarkEnd w:id="18"/>
    <w:p>
      <w:pPr>
        <w:pStyle w:val="126"/>
      </w:pPr>
      <w:bookmarkStart w:id="19" w:name="_Hlk7733120"/>
      <w:r>
        <w:t>-</w:t>
      </w:r>
      <w:r>
        <w:tab/>
      </w:r>
      <w:bookmarkStart w:id="20" w:name="_Hlk7795697"/>
      <w:r>
        <w:t>a UE associated signalling connection is associated to an F1-C interface instance by allocating values for the corresponding gNB-DU UE F1AP ID and gNB-CU UE F1AP ID so that they can be mapped to that interface instance</w:t>
      </w:r>
      <w:bookmarkEnd w:id="20"/>
      <w:r>
        <w:t>.</w:t>
      </w:r>
    </w:p>
    <w:p>
      <w:pPr>
        <w:pStyle w:val="90"/>
      </w:pPr>
      <w:r>
        <w:t>NOTE 2:</w:t>
      </w:r>
      <w:r>
        <w:tab/>
      </w:r>
      <w:r>
        <w:t>One possible implementation is to partition the value ranges of the gNB-DU UE F1AP ID and gNB-CU UE F1AP ID and associate each value range with an F1-C interface instance.</w:t>
      </w:r>
    </w:p>
    <w:bookmarkEnd w:id="19"/>
    <w:p>
      <w:r>
        <w:t>Interpreting the content of RRC MSG3 and other unciphered RRC message by the gNB-DU is supported.</w:t>
      </w:r>
    </w:p>
    <w:p>
      <w:pPr>
        <w:rPr>
          <w:rFonts w:hint="eastAsia"/>
          <w:lang w:val="en-US" w:eastAsia="zh-CN"/>
        </w:rPr>
      </w:pPr>
      <w:r>
        <w:rPr>
          <w:lang w:eastAsia="ja-JP"/>
        </w:rPr>
        <w:t>Content for System Information Broadcast is assumed to be coordinated among the sharing PLMNs. PLMN specific SIB1 content is controlled by the respective PLMN owner. Non PLMN specific content needs coordination to avoid contradicting indication by PLMN specific gNB-CUs. For Warning messages (SIB6, SIB7 and SIB8), if provided by more than one gNB-CU, warning message duplicates are identified by provision of the Message Number and the Serial Number by the gNB-CU and don’t trigger new broadcast or replace existing broadcast. Other coordination between gNB-CUs is ensured by appropriate implementation.</w:t>
      </w:r>
    </w:p>
    <w:p>
      <w:pPr>
        <w:rPr>
          <w:rFonts w:hint="default"/>
          <w:lang w:val="en-US" w:eastAsia="zh-CN"/>
        </w:rPr>
      </w:pPr>
      <w:r>
        <w:rPr>
          <w:rFonts w:hint="eastAsia"/>
          <w:lang w:val="en-US" w:eastAsia="zh-CN"/>
        </w:rPr>
        <w:t>---------------------------------------------------------TS 38.401---------------------------------------------------------------------------</w:t>
      </w:r>
    </w:p>
    <w:p>
      <w:pPr>
        <w:spacing w:line="240" w:lineRule="auto"/>
        <w:rPr>
          <w:rFonts w:hint="default"/>
          <w:b w:val="0"/>
          <w:bCs/>
          <w:sz w:val="20"/>
          <w:szCs w:val="20"/>
          <w:lang w:val="en-US" w:eastAsia="zh-CN"/>
        </w:rPr>
      </w:pPr>
      <w:r>
        <w:rPr>
          <w:rFonts w:hint="eastAsia"/>
          <w:b w:val="0"/>
          <w:bCs/>
          <w:sz w:val="20"/>
          <w:szCs w:val="20"/>
          <w:lang w:val="en-US" w:eastAsia="zh-CN"/>
        </w:rPr>
        <w:t>According to the offline discussion in RAN3#103bis meeting, although the following text is only for the summary of the offline, it is the common understanding that both of the per-PLMN and common F1 interface could be supported in Rel-15.</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val="0"/>
              <w:spacing w:after="0"/>
              <w:rPr>
                <w:rFonts w:cs="Calibri"/>
                <w:b/>
                <w:color w:val="000000"/>
                <w:sz w:val="18"/>
                <w:szCs w:val="24"/>
              </w:rPr>
            </w:pPr>
            <w:r>
              <w:rPr>
                <w:rFonts w:cs="Calibri"/>
                <w:b/>
                <w:color w:val="000000"/>
                <w:sz w:val="18"/>
                <w:szCs w:val="24"/>
              </w:rPr>
              <w:t>At this meeting:</w:t>
            </w:r>
          </w:p>
          <w:p>
            <w:pPr>
              <w:widowControl w:val="0"/>
              <w:spacing w:after="0"/>
              <w:rPr>
                <w:rFonts w:cs="Calibri"/>
                <w:b/>
                <w:color w:val="000000"/>
                <w:sz w:val="18"/>
                <w:szCs w:val="24"/>
              </w:rPr>
            </w:pPr>
            <w:r>
              <w:rPr>
                <w:rFonts w:cs="Calibri"/>
                <w:b/>
                <w:color w:val="000000"/>
                <w:sz w:val="18"/>
                <w:szCs w:val="24"/>
              </w:rPr>
              <w:t>1. Agree on the principles of the solutions</w:t>
            </w:r>
          </w:p>
          <w:p>
            <w:pPr>
              <w:widowControl w:val="0"/>
              <w:spacing w:after="0"/>
              <w:rPr>
                <w:rFonts w:cs="Calibri"/>
                <w:b/>
                <w:color w:val="000000"/>
                <w:sz w:val="18"/>
                <w:szCs w:val="24"/>
                <w:highlight w:val="yellow"/>
              </w:rPr>
            </w:pPr>
            <w:r>
              <w:rPr>
                <w:rFonts w:cs="Calibri"/>
                <w:b/>
                <w:color w:val="000000"/>
                <w:sz w:val="18"/>
                <w:szCs w:val="24"/>
                <w:highlight w:val="yellow"/>
              </w:rPr>
              <w:t>2. Endorse the stage 2 CRs for 38.300, 36,300, and 38.401. These CRs are common for both per-PLMN and common interfaces</w:t>
            </w:r>
          </w:p>
          <w:p>
            <w:pPr>
              <w:widowControl w:val="0"/>
              <w:spacing w:after="0"/>
              <w:rPr>
                <w:rFonts w:cs="Calibri"/>
                <w:b/>
                <w:color w:val="000000"/>
                <w:sz w:val="18"/>
                <w:szCs w:val="24"/>
                <w:highlight w:val="yellow"/>
              </w:rPr>
            </w:pPr>
            <w:r>
              <w:rPr>
                <w:rFonts w:cs="Calibri"/>
                <w:b/>
                <w:color w:val="000000"/>
                <w:sz w:val="18"/>
                <w:szCs w:val="24"/>
                <w:highlight w:val="yellow"/>
              </w:rPr>
              <w:t>3. Endorse, if possible, the 38.473 CR as baseline. This CR is common for both per-PLMN and common interfaces, with liberal use of FFS as necessary</w:t>
            </w:r>
          </w:p>
          <w:p>
            <w:pPr>
              <w:widowControl w:val="0"/>
              <w:spacing w:after="0"/>
              <w:rPr>
                <w:rFonts w:cs="Calibri"/>
                <w:b/>
                <w:color w:val="000000"/>
                <w:sz w:val="18"/>
                <w:szCs w:val="24"/>
              </w:rPr>
            </w:pPr>
            <w:r>
              <w:rPr>
                <w:rFonts w:cs="Calibri"/>
                <w:b/>
                <w:color w:val="000000"/>
                <w:sz w:val="18"/>
                <w:szCs w:val="24"/>
              </w:rPr>
              <w:t>At the May meeting</w:t>
            </w:r>
          </w:p>
          <w:p>
            <w:pPr>
              <w:widowControl w:val="0"/>
              <w:spacing w:after="0"/>
              <w:rPr>
                <w:rFonts w:cs="Calibri"/>
                <w:b/>
                <w:color w:val="000000"/>
                <w:sz w:val="18"/>
                <w:szCs w:val="24"/>
              </w:rPr>
            </w:pPr>
            <w:r>
              <w:rPr>
                <w:rFonts w:cs="Calibri"/>
                <w:b/>
                <w:color w:val="000000"/>
                <w:sz w:val="18"/>
                <w:szCs w:val="24"/>
              </w:rPr>
              <w:t>1. Complete solution for all of the stage 3 CRs, 38.423, 36.423, 38.473</w:t>
            </w:r>
          </w:p>
          <w:p>
            <w:pPr>
              <w:widowControl w:val="0"/>
              <w:spacing w:after="0"/>
              <w:rPr>
                <w:rFonts w:hint="default"/>
                <w:b w:val="0"/>
                <w:bCs/>
                <w:sz w:val="20"/>
                <w:szCs w:val="20"/>
                <w:vertAlign w:val="baseline"/>
                <w:lang w:val="en-US" w:eastAsia="zh-CN"/>
              </w:rPr>
            </w:pPr>
            <w:r>
              <w:rPr>
                <w:rFonts w:cs="Calibri"/>
                <w:b/>
                <w:color w:val="000000"/>
                <w:sz w:val="18"/>
                <w:szCs w:val="24"/>
              </w:rPr>
              <w:t>2. Update as needed and agree on the stage 2 CRs, 38.300, 36.300, and 38.401</w:t>
            </w:r>
          </w:p>
        </w:tc>
      </w:tr>
    </w:tbl>
    <w:p>
      <w:pPr>
        <w:widowControl w:val="0"/>
        <w:spacing w:after="0"/>
        <w:rPr>
          <w:rFonts w:cs="Calibri"/>
          <w:b/>
          <w:color w:val="000000"/>
          <w:sz w:val="18"/>
          <w:szCs w:val="24"/>
        </w:rPr>
      </w:pPr>
    </w:p>
    <w:p>
      <w:pPr>
        <w:spacing w:line="240" w:lineRule="auto"/>
        <w:rPr>
          <w:rFonts w:hint="eastAsia"/>
          <w:b/>
          <w:sz w:val="20"/>
          <w:szCs w:val="20"/>
          <w:lang w:val="en-US" w:eastAsia="zh-CN"/>
        </w:rPr>
      </w:pPr>
      <w:r>
        <w:rPr>
          <w:rFonts w:hint="eastAsia"/>
          <w:b/>
          <w:sz w:val="20"/>
          <w:szCs w:val="20"/>
          <w:lang w:val="en-US" w:eastAsia="zh-CN"/>
        </w:rPr>
        <w:t>Observation</w:t>
      </w:r>
      <w:r>
        <w:rPr>
          <w:b/>
          <w:sz w:val="20"/>
          <w:szCs w:val="20"/>
        </w:rPr>
        <w:t xml:space="preserve"> </w:t>
      </w:r>
      <w:r>
        <w:rPr>
          <w:rFonts w:hint="eastAsia"/>
          <w:b/>
          <w:sz w:val="20"/>
          <w:szCs w:val="20"/>
          <w:lang w:val="en-US" w:eastAsia="zh-CN"/>
        </w:rPr>
        <w:t>1</w:t>
      </w:r>
      <w:r>
        <w:rPr>
          <w:b/>
          <w:sz w:val="20"/>
          <w:szCs w:val="20"/>
        </w:rPr>
        <w:t xml:space="preserve">: </w:t>
      </w:r>
      <w:r>
        <w:rPr>
          <w:rFonts w:hint="eastAsia"/>
          <w:b/>
          <w:sz w:val="20"/>
          <w:szCs w:val="20"/>
          <w:lang w:val="en-US" w:eastAsia="zh-CN"/>
        </w:rPr>
        <w:t>Both of the common F1 interface and dedicated F1 interface could be supported.</w:t>
      </w:r>
    </w:p>
    <w:p>
      <w:pPr>
        <w:spacing w:line="240" w:lineRule="auto"/>
        <w:rPr>
          <w:rFonts w:hint="default"/>
          <w:b w:val="0"/>
          <w:bCs/>
          <w:sz w:val="20"/>
          <w:szCs w:val="20"/>
          <w:lang w:val="en-US" w:eastAsia="zh-CN"/>
        </w:rPr>
      </w:pPr>
      <w:r>
        <w:rPr>
          <w:rFonts w:hint="eastAsia"/>
          <w:b w:val="0"/>
          <w:bCs/>
          <w:sz w:val="20"/>
          <w:szCs w:val="20"/>
          <w:lang w:val="en-US" w:eastAsia="zh-CN"/>
        </w:rPr>
        <w:t xml:space="preserve">For Issue#1 and Issue#2, the common F1 interface and dedicated F1 interface are optional to implement, while the real deployment should depends on the choice of the operator, and the two types of interfaces could be supported simultaneously. </w:t>
      </w:r>
    </w:p>
    <w:p>
      <w:pPr>
        <w:spacing w:line="240" w:lineRule="auto"/>
        <w:rPr>
          <w:rFonts w:hint="default"/>
          <w:b/>
          <w:sz w:val="20"/>
          <w:szCs w:val="20"/>
          <w:lang w:val="en-US" w:eastAsia="zh-CN"/>
        </w:rPr>
      </w:pPr>
      <w:r>
        <w:rPr>
          <w:rFonts w:hint="eastAsia"/>
          <w:b/>
          <w:sz w:val="20"/>
          <w:szCs w:val="20"/>
        </w:rPr>
        <w:t>P</w:t>
      </w:r>
      <w:r>
        <w:rPr>
          <w:b/>
          <w:sz w:val="20"/>
          <w:szCs w:val="20"/>
        </w:rPr>
        <w:t>roposal:</w:t>
      </w:r>
      <w:r>
        <w:rPr>
          <w:rFonts w:hint="eastAsia"/>
          <w:b/>
          <w:sz w:val="20"/>
          <w:szCs w:val="20"/>
          <w:lang w:val="en-US" w:eastAsia="zh-CN"/>
        </w:rPr>
        <w:t xml:space="preserve"> RAN3 needs to send a reply LS to SA5 to provide our understanding about the type of F1 interfaces for RAN sharing .</w:t>
      </w:r>
    </w:p>
    <w:p>
      <w:pPr>
        <w:pStyle w:val="2"/>
        <w:rPr>
          <w:lang w:val="en-US"/>
        </w:rPr>
      </w:pPr>
      <w:r>
        <w:rPr>
          <w:rFonts w:hint="eastAsia" w:eastAsia="宋体"/>
          <w:lang w:val="en-US" w:eastAsia="zh-CN"/>
        </w:rPr>
        <w:t>Conclusion</w:t>
      </w:r>
    </w:p>
    <w:p>
      <w:pPr>
        <w:spacing w:line="240" w:lineRule="auto"/>
        <w:rPr>
          <w:rFonts w:hint="eastAsia"/>
          <w:b/>
          <w:sz w:val="20"/>
          <w:szCs w:val="20"/>
          <w:lang w:val="en-US" w:eastAsia="zh-CN"/>
        </w:rPr>
      </w:pPr>
      <w:r>
        <w:rPr>
          <w:rFonts w:hint="eastAsia"/>
          <w:b/>
          <w:sz w:val="20"/>
          <w:szCs w:val="20"/>
          <w:lang w:val="en-US" w:eastAsia="zh-CN"/>
        </w:rPr>
        <w:t>Observation</w:t>
      </w:r>
      <w:r>
        <w:rPr>
          <w:b/>
          <w:sz w:val="20"/>
          <w:szCs w:val="20"/>
        </w:rPr>
        <w:t xml:space="preserve"> </w:t>
      </w:r>
      <w:r>
        <w:rPr>
          <w:rFonts w:hint="eastAsia"/>
          <w:b/>
          <w:sz w:val="20"/>
          <w:szCs w:val="20"/>
          <w:lang w:val="en-US" w:eastAsia="zh-CN"/>
        </w:rPr>
        <w:t>1</w:t>
      </w:r>
      <w:r>
        <w:rPr>
          <w:b/>
          <w:sz w:val="20"/>
          <w:szCs w:val="20"/>
        </w:rPr>
        <w:t xml:space="preserve">: </w:t>
      </w:r>
      <w:r>
        <w:rPr>
          <w:rFonts w:hint="eastAsia"/>
          <w:b/>
          <w:sz w:val="20"/>
          <w:szCs w:val="20"/>
          <w:lang w:val="en-US" w:eastAsia="zh-CN"/>
        </w:rPr>
        <w:t>Both of the common F1 interface and dedicated F1 interface could be supported.</w:t>
      </w:r>
    </w:p>
    <w:p>
      <w:pPr>
        <w:spacing w:line="240" w:lineRule="auto"/>
        <w:rPr>
          <w:rFonts w:hint="default"/>
          <w:b/>
          <w:sz w:val="20"/>
          <w:szCs w:val="20"/>
          <w:lang w:val="en-US" w:eastAsia="zh-CN"/>
        </w:rPr>
      </w:pPr>
      <w:r>
        <w:rPr>
          <w:rFonts w:hint="eastAsia"/>
          <w:b/>
          <w:sz w:val="20"/>
          <w:szCs w:val="20"/>
        </w:rPr>
        <w:t>P</w:t>
      </w:r>
      <w:r>
        <w:rPr>
          <w:b/>
          <w:sz w:val="20"/>
          <w:szCs w:val="20"/>
        </w:rPr>
        <w:t>roposal:</w:t>
      </w:r>
      <w:r>
        <w:rPr>
          <w:rFonts w:hint="eastAsia"/>
          <w:b/>
          <w:sz w:val="20"/>
          <w:szCs w:val="20"/>
          <w:lang w:val="en-US" w:eastAsia="zh-CN"/>
        </w:rPr>
        <w:t xml:space="preserve"> RAN3 needs to send a reply LS to SA5 to provide our understanding about the type of F1 interfaces for RAN sharing .</w:t>
      </w:r>
    </w:p>
    <w:p>
      <w:pPr>
        <w:rPr>
          <w:rFonts w:hint="default"/>
          <w:b/>
          <w:bCs/>
          <w:u w:val="none"/>
          <w:lang w:val="en-US" w:eastAsia="zh-CN"/>
        </w:rPr>
      </w:pPr>
      <w:r>
        <w:rPr>
          <w:rFonts w:hint="eastAsia"/>
          <w:b/>
          <w:bCs/>
          <w:u w:val="none"/>
          <w:lang w:val="en-US" w:eastAsia="zh-CN"/>
        </w:rPr>
        <w:t>The corresponding draft LS is given in [2].</w:t>
      </w:r>
    </w:p>
    <w:p>
      <w:pPr>
        <w:pStyle w:val="2"/>
        <w:rPr>
          <w:lang w:val="en-US"/>
        </w:rPr>
      </w:pPr>
      <w:r>
        <w:rPr>
          <w:rFonts w:hint="eastAsia"/>
          <w:lang w:val="en-US" w:eastAsia="zh-CN"/>
        </w:rPr>
        <w:t xml:space="preserve"> </w:t>
      </w:r>
      <w:r>
        <w:rPr>
          <w:lang w:val="en-US"/>
        </w:rPr>
        <w:t>References</w:t>
      </w:r>
    </w:p>
    <w:p>
      <w:pPr>
        <w:numPr>
          <w:ilvl w:val="0"/>
          <w:numId w:val="12"/>
        </w:numPr>
        <w:ind w:left="0" w:leftChars="0" w:firstLine="0" w:firstLineChars="0"/>
        <w:rPr>
          <w:rFonts w:hint="eastAsia"/>
          <w:iCs/>
          <w:lang w:val="en-US" w:eastAsia="zh-CN"/>
        </w:rPr>
      </w:pPr>
      <w:r>
        <w:rPr>
          <w:rFonts w:hint="eastAsia"/>
          <w:lang w:val="en-US" w:eastAsia="zh-CN"/>
        </w:rPr>
        <w:t xml:space="preserve">R3-214723 </w:t>
      </w:r>
      <w:r>
        <w:rPr>
          <w:rFonts w:hint="eastAsia" w:ascii="Times New Roman" w:hAnsi="Times New Roman" w:cs="Times New Roman"/>
          <w:lang w:val="en-US" w:eastAsia="zh-CN"/>
        </w:rPr>
        <w:t>LS to RAN3 on the F1 interface for MOCN network sharing for multiple Cell Identity broadcast scenario</w:t>
      </w:r>
      <w:r>
        <w:rPr>
          <w:rFonts w:hint="eastAsia"/>
          <w:lang w:val="en-US" w:eastAsia="zh-CN"/>
        </w:rPr>
        <w:t xml:space="preserve">  SA5</w:t>
      </w:r>
    </w:p>
    <w:p>
      <w:pPr>
        <w:numPr>
          <w:ilvl w:val="0"/>
          <w:numId w:val="12"/>
        </w:numPr>
        <w:ind w:left="0" w:leftChars="0" w:firstLine="0" w:firstLineChars="0"/>
        <w:rPr>
          <w:rFonts w:hint="eastAsia"/>
          <w:lang w:val="en-US" w:eastAsia="zh-CN"/>
        </w:rPr>
      </w:pPr>
      <w:r>
        <w:rPr>
          <w:rFonts w:hint="eastAsia"/>
          <w:iCs/>
          <w:lang w:val="en-US" w:eastAsia="zh-CN"/>
        </w:rPr>
        <w:t xml:space="preserve">R3-215766 </w:t>
      </w:r>
      <w:r>
        <w:rPr>
          <w:lang w:val="it-IT"/>
        </w:rPr>
        <w:t xml:space="preserve">[DRAFT] Reply LS </w:t>
      </w:r>
      <w:r>
        <w:rPr>
          <w:rFonts w:hint="eastAsia" w:ascii="Times New Roman" w:hAnsi="Times New Roman" w:cs="Times New Roman"/>
          <w:lang w:val="en-US" w:eastAsia="zh-CN"/>
        </w:rPr>
        <w:t>on the F1 interface for MOCN network sharing for multiple cell identity broadcast scenario</w:t>
      </w:r>
      <w:r>
        <w:rPr>
          <w:lang w:val="it-IT"/>
        </w:rPr>
        <w:t xml:space="preserve"> </w:t>
      </w:r>
      <w:r>
        <w:rPr>
          <w:rFonts w:hint="eastAsia"/>
          <w:lang w:val="en-US" w:eastAsia="zh-CN"/>
        </w:rPr>
        <w:t xml:space="preserve"> ZTE</w:t>
      </w:r>
      <w:bookmarkStart w:id="21" w:name="_GoBack"/>
      <w:bookmarkEnd w:id="21"/>
    </w:p>
    <w:p>
      <w:pPr>
        <w:numPr>
          <w:ilvl w:val="0"/>
          <w:numId w:val="0"/>
        </w:numPr>
        <w:rPr>
          <w:rFonts w:hint="eastAsia"/>
          <w:iCs/>
          <w:lang w:val="en-US" w:eastAsia="zh-CN"/>
        </w:rPr>
      </w:pP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5AC15F2D"/>
    <w:multiLevelType w:val="multilevel"/>
    <w:tmpl w:val="5AC15F2D"/>
    <w:lvl w:ilvl="0" w:tentative="0">
      <w:start w:val="1"/>
      <w:numFmt w:val="bullet"/>
      <w:lvlText w:val="-"/>
      <w:lvlJc w:val="left"/>
      <w:pPr>
        <w:ind w:left="360" w:hanging="360"/>
      </w:pPr>
      <w:rPr>
        <w:rFonts w:hint="default" w:ascii="Arial" w:hAnsi="Arial" w:eastAsia="等线"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9">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10">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10"/>
  </w:num>
  <w:num w:numId="3">
    <w:abstractNumId w:val="11"/>
  </w:num>
  <w:num w:numId="4">
    <w:abstractNumId w:val="1"/>
  </w:num>
  <w:num w:numId="5">
    <w:abstractNumId w:val="8"/>
  </w:num>
  <w:num w:numId="6">
    <w:abstractNumId w:val="6"/>
  </w:num>
  <w:num w:numId="7">
    <w:abstractNumId w:val="4"/>
  </w:num>
  <w:num w:numId="8">
    <w:abstractNumId w:val="9"/>
  </w:num>
  <w:num w:numId="9">
    <w:abstractNumId w:val="5"/>
  </w:num>
  <w:num w:numId="10">
    <w:abstractNumId w:val="2"/>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44747D"/>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0FB4147F"/>
    <w:rsid w:val="1022760D"/>
    <w:rsid w:val="104616BD"/>
    <w:rsid w:val="10697B06"/>
    <w:rsid w:val="10CC33DF"/>
    <w:rsid w:val="11612417"/>
    <w:rsid w:val="11C34770"/>
    <w:rsid w:val="11D65330"/>
    <w:rsid w:val="11DB6749"/>
    <w:rsid w:val="124640E0"/>
    <w:rsid w:val="124B1E28"/>
    <w:rsid w:val="12566DA1"/>
    <w:rsid w:val="125C578E"/>
    <w:rsid w:val="125F606D"/>
    <w:rsid w:val="12796A6A"/>
    <w:rsid w:val="12B73388"/>
    <w:rsid w:val="12CC6A06"/>
    <w:rsid w:val="12D10D26"/>
    <w:rsid w:val="12E7003A"/>
    <w:rsid w:val="13110A16"/>
    <w:rsid w:val="13187E00"/>
    <w:rsid w:val="135B57AA"/>
    <w:rsid w:val="136A6B2D"/>
    <w:rsid w:val="13B15BC5"/>
    <w:rsid w:val="13E827EF"/>
    <w:rsid w:val="141B1F86"/>
    <w:rsid w:val="14336A4B"/>
    <w:rsid w:val="144E1357"/>
    <w:rsid w:val="14951399"/>
    <w:rsid w:val="149F04AF"/>
    <w:rsid w:val="14A5762D"/>
    <w:rsid w:val="152057CA"/>
    <w:rsid w:val="152131F1"/>
    <w:rsid w:val="15653C9E"/>
    <w:rsid w:val="1587329E"/>
    <w:rsid w:val="15880CC4"/>
    <w:rsid w:val="15896B26"/>
    <w:rsid w:val="15C70B6F"/>
    <w:rsid w:val="16AE4662"/>
    <w:rsid w:val="16E240B0"/>
    <w:rsid w:val="17B370F1"/>
    <w:rsid w:val="17C421A8"/>
    <w:rsid w:val="18092532"/>
    <w:rsid w:val="1828006B"/>
    <w:rsid w:val="18737782"/>
    <w:rsid w:val="188A5116"/>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B43658"/>
    <w:rsid w:val="1DC67C28"/>
    <w:rsid w:val="1DD16964"/>
    <w:rsid w:val="1DD60742"/>
    <w:rsid w:val="1E28282F"/>
    <w:rsid w:val="1E39145D"/>
    <w:rsid w:val="1E3A09B8"/>
    <w:rsid w:val="1E7E3C6A"/>
    <w:rsid w:val="1ED05EDB"/>
    <w:rsid w:val="1F1851E0"/>
    <w:rsid w:val="1F186234"/>
    <w:rsid w:val="1F2A1FDC"/>
    <w:rsid w:val="1F5348EF"/>
    <w:rsid w:val="1F656847"/>
    <w:rsid w:val="1F947C76"/>
    <w:rsid w:val="1FD56E16"/>
    <w:rsid w:val="20255CCF"/>
    <w:rsid w:val="205158FB"/>
    <w:rsid w:val="20736B2F"/>
    <w:rsid w:val="20A43B92"/>
    <w:rsid w:val="20DA4D43"/>
    <w:rsid w:val="21007028"/>
    <w:rsid w:val="211A120E"/>
    <w:rsid w:val="2148646C"/>
    <w:rsid w:val="215C1869"/>
    <w:rsid w:val="21690C34"/>
    <w:rsid w:val="21726E43"/>
    <w:rsid w:val="217C4881"/>
    <w:rsid w:val="219A638D"/>
    <w:rsid w:val="21F15BD9"/>
    <w:rsid w:val="22064DB8"/>
    <w:rsid w:val="222F1F71"/>
    <w:rsid w:val="226C2838"/>
    <w:rsid w:val="2272111D"/>
    <w:rsid w:val="22FA5F98"/>
    <w:rsid w:val="238E7F9D"/>
    <w:rsid w:val="23AC0648"/>
    <w:rsid w:val="23B12D8D"/>
    <w:rsid w:val="23D40B74"/>
    <w:rsid w:val="23E05107"/>
    <w:rsid w:val="241A3DCD"/>
    <w:rsid w:val="24280C7A"/>
    <w:rsid w:val="24294579"/>
    <w:rsid w:val="2443739B"/>
    <w:rsid w:val="24503223"/>
    <w:rsid w:val="24835949"/>
    <w:rsid w:val="24B008D6"/>
    <w:rsid w:val="24F777F0"/>
    <w:rsid w:val="255270B3"/>
    <w:rsid w:val="256E3041"/>
    <w:rsid w:val="258A3006"/>
    <w:rsid w:val="25913F66"/>
    <w:rsid w:val="25D543C7"/>
    <w:rsid w:val="25E25B1B"/>
    <w:rsid w:val="25F53E66"/>
    <w:rsid w:val="263249FA"/>
    <w:rsid w:val="265C0D26"/>
    <w:rsid w:val="26B023A3"/>
    <w:rsid w:val="26BB7E1A"/>
    <w:rsid w:val="271C1B98"/>
    <w:rsid w:val="278003A7"/>
    <w:rsid w:val="278C7A9D"/>
    <w:rsid w:val="28084331"/>
    <w:rsid w:val="28F9779E"/>
    <w:rsid w:val="290B3E66"/>
    <w:rsid w:val="293B0D57"/>
    <w:rsid w:val="29804F06"/>
    <w:rsid w:val="29822ABC"/>
    <w:rsid w:val="29C02A00"/>
    <w:rsid w:val="29DA1FC7"/>
    <w:rsid w:val="2A0C40E9"/>
    <w:rsid w:val="2A203609"/>
    <w:rsid w:val="2A3B53AB"/>
    <w:rsid w:val="2A4A6563"/>
    <w:rsid w:val="2A845CCD"/>
    <w:rsid w:val="2AA05A87"/>
    <w:rsid w:val="2AB47994"/>
    <w:rsid w:val="2ABB039F"/>
    <w:rsid w:val="2ACC2994"/>
    <w:rsid w:val="2ACD6D42"/>
    <w:rsid w:val="2AD300F9"/>
    <w:rsid w:val="2ADC7BAE"/>
    <w:rsid w:val="2B027322"/>
    <w:rsid w:val="2B1B0895"/>
    <w:rsid w:val="2B6942D8"/>
    <w:rsid w:val="2B7D3D7A"/>
    <w:rsid w:val="2BA24BC4"/>
    <w:rsid w:val="2BA31DEF"/>
    <w:rsid w:val="2BFB214F"/>
    <w:rsid w:val="2C0025CA"/>
    <w:rsid w:val="2C1E7032"/>
    <w:rsid w:val="2C3510D6"/>
    <w:rsid w:val="2C3C196E"/>
    <w:rsid w:val="2C513B78"/>
    <w:rsid w:val="2C7868F4"/>
    <w:rsid w:val="2C7A6A33"/>
    <w:rsid w:val="2C8B137A"/>
    <w:rsid w:val="2C964CB2"/>
    <w:rsid w:val="2CAF08F7"/>
    <w:rsid w:val="2CBA7F21"/>
    <w:rsid w:val="2D4C1636"/>
    <w:rsid w:val="2D4E266A"/>
    <w:rsid w:val="2D5A6D9B"/>
    <w:rsid w:val="2DB40F60"/>
    <w:rsid w:val="2E2F6AFD"/>
    <w:rsid w:val="2E4E2817"/>
    <w:rsid w:val="2E6D1182"/>
    <w:rsid w:val="2E7528B1"/>
    <w:rsid w:val="2EC36F08"/>
    <w:rsid w:val="2EEE69D4"/>
    <w:rsid w:val="2F382857"/>
    <w:rsid w:val="2F550CAE"/>
    <w:rsid w:val="2FB46F0C"/>
    <w:rsid w:val="2FE62409"/>
    <w:rsid w:val="2FF61694"/>
    <w:rsid w:val="303655F3"/>
    <w:rsid w:val="303969A8"/>
    <w:rsid w:val="306B0B80"/>
    <w:rsid w:val="30BF03AE"/>
    <w:rsid w:val="30E44BBF"/>
    <w:rsid w:val="30E47FAC"/>
    <w:rsid w:val="318B2428"/>
    <w:rsid w:val="31B1536D"/>
    <w:rsid w:val="31BB5F47"/>
    <w:rsid w:val="31DD2EE0"/>
    <w:rsid w:val="31E54763"/>
    <w:rsid w:val="32391713"/>
    <w:rsid w:val="323C5FF4"/>
    <w:rsid w:val="323F73F9"/>
    <w:rsid w:val="32571698"/>
    <w:rsid w:val="32612FE2"/>
    <w:rsid w:val="32872C29"/>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6F45EE"/>
    <w:rsid w:val="377266A8"/>
    <w:rsid w:val="377A73B2"/>
    <w:rsid w:val="37A022CD"/>
    <w:rsid w:val="37A317A3"/>
    <w:rsid w:val="37A903C2"/>
    <w:rsid w:val="37B76230"/>
    <w:rsid w:val="37C230C0"/>
    <w:rsid w:val="37D82C11"/>
    <w:rsid w:val="37EC5240"/>
    <w:rsid w:val="37FE3FB2"/>
    <w:rsid w:val="380B4838"/>
    <w:rsid w:val="38107EDC"/>
    <w:rsid w:val="38AA53EA"/>
    <w:rsid w:val="390C2963"/>
    <w:rsid w:val="39484FA2"/>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A849A0"/>
    <w:rsid w:val="3BB9119D"/>
    <w:rsid w:val="3BC07508"/>
    <w:rsid w:val="3BE6272C"/>
    <w:rsid w:val="3BE81889"/>
    <w:rsid w:val="3C2222A1"/>
    <w:rsid w:val="3C8A280E"/>
    <w:rsid w:val="3C97649D"/>
    <w:rsid w:val="3CFE691F"/>
    <w:rsid w:val="3D664C7B"/>
    <w:rsid w:val="3D7262BE"/>
    <w:rsid w:val="3D9B4E79"/>
    <w:rsid w:val="3DA539D0"/>
    <w:rsid w:val="3DB70219"/>
    <w:rsid w:val="3DBD206A"/>
    <w:rsid w:val="3E257D4D"/>
    <w:rsid w:val="3E3C63BD"/>
    <w:rsid w:val="3EFA184D"/>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AE26D4"/>
    <w:rsid w:val="49CD3F95"/>
    <w:rsid w:val="49FF5459"/>
    <w:rsid w:val="4A4E6EBE"/>
    <w:rsid w:val="4A6B6121"/>
    <w:rsid w:val="4A872624"/>
    <w:rsid w:val="4AD65D51"/>
    <w:rsid w:val="4B375F86"/>
    <w:rsid w:val="4B660CC3"/>
    <w:rsid w:val="4B7E5C9E"/>
    <w:rsid w:val="4B926C13"/>
    <w:rsid w:val="4BB66E0E"/>
    <w:rsid w:val="4BDC7073"/>
    <w:rsid w:val="4CD654C8"/>
    <w:rsid w:val="4CEE08C2"/>
    <w:rsid w:val="4D21667A"/>
    <w:rsid w:val="4D51419A"/>
    <w:rsid w:val="4D762244"/>
    <w:rsid w:val="4D8041FD"/>
    <w:rsid w:val="4D854F67"/>
    <w:rsid w:val="4DB00E91"/>
    <w:rsid w:val="4DE52B9E"/>
    <w:rsid w:val="4E0D7AB5"/>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A31BE"/>
    <w:rsid w:val="500D4514"/>
    <w:rsid w:val="50117AF7"/>
    <w:rsid w:val="501514AD"/>
    <w:rsid w:val="504F2FFD"/>
    <w:rsid w:val="505903E5"/>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728B2"/>
    <w:rsid w:val="52AA5504"/>
    <w:rsid w:val="52B4215C"/>
    <w:rsid w:val="52C80E1E"/>
    <w:rsid w:val="52D452CF"/>
    <w:rsid w:val="52E0149B"/>
    <w:rsid w:val="52E17596"/>
    <w:rsid w:val="52F20325"/>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267B6"/>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B87D76"/>
    <w:rsid w:val="5AC16934"/>
    <w:rsid w:val="5B1A502A"/>
    <w:rsid w:val="5B2828B1"/>
    <w:rsid w:val="5B8B7980"/>
    <w:rsid w:val="5B9132D9"/>
    <w:rsid w:val="5BA07233"/>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D265A8"/>
    <w:rsid w:val="65F10A6F"/>
    <w:rsid w:val="65FE57FF"/>
    <w:rsid w:val="664B6238"/>
    <w:rsid w:val="66664685"/>
    <w:rsid w:val="667A27AD"/>
    <w:rsid w:val="668D213A"/>
    <w:rsid w:val="66E36515"/>
    <w:rsid w:val="66E37C00"/>
    <w:rsid w:val="670E2D26"/>
    <w:rsid w:val="673133B8"/>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4B7B41"/>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7E2EB9"/>
    <w:rsid w:val="6C845B39"/>
    <w:rsid w:val="6C94735D"/>
    <w:rsid w:val="6CAA3F0A"/>
    <w:rsid w:val="6CAC0C9B"/>
    <w:rsid w:val="6CBA1CB0"/>
    <w:rsid w:val="6CC95241"/>
    <w:rsid w:val="6D18660F"/>
    <w:rsid w:val="6D544FAE"/>
    <w:rsid w:val="6D8C39A9"/>
    <w:rsid w:val="6DBF0252"/>
    <w:rsid w:val="6DD70E25"/>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66369E"/>
    <w:rsid w:val="70A45A1C"/>
    <w:rsid w:val="715256C6"/>
    <w:rsid w:val="717B1367"/>
    <w:rsid w:val="717F6B2A"/>
    <w:rsid w:val="71B95FA8"/>
    <w:rsid w:val="723448E6"/>
    <w:rsid w:val="7262728A"/>
    <w:rsid w:val="726F7031"/>
    <w:rsid w:val="72AF2C2B"/>
    <w:rsid w:val="72B825E5"/>
    <w:rsid w:val="72E71F99"/>
    <w:rsid w:val="72F41883"/>
    <w:rsid w:val="73642AAE"/>
    <w:rsid w:val="73854EF4"/>
    <w:rsid w:val="73B86084"/>
    <w:rsid w:val="73EE7580"/>
    <w:rsid w:val="73F15294"/>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20487E"/>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 w:type="paragraph" w:customStyle="1" w:styleId="168">
    <w:name w:val="tal"/>
    <w:basedOn w:val="1"/>
    <w:qFormat/>
    <w:uiPriority w:val="0"/>
    <w:pPr>
      <w:spacing w:before="100" w:beforeAutospacing="1" w:after="100" w:afterAutospacing="1"/>
    </w:pPr>
    <w:rPr>
      <w:rFonts w:eastAsia="宋体"/>
      <w:sz w:val="24"/>
      <w:szCs w:val="24"/>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10</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2021-10-22T06:18:45Z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